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85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008"/>
        <w:gridCol w:w="1700"/>
        <w:gridCol w:w="4677"/>
      </w:tblGrid>
      <w:tr w:rsidR="001E2F2A" w:rsidRPr="001E2F2A" w:rsidTr="000A069B">
        <w:trPr>
          <w:trHeight w:val="1490"/>
        </w:trPr>
        <w:tc>
          <w:tcPr>
            <w:tcW w:w="5011" w:type="dxa"/>
            <w:hideMark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Баш7ортостан Республика3ы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М2сетле  районы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муниципаль районыны8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 xml:space="preserve">Оло Устикин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Bashk" w:eastAsia="Times New Roman" w:hAnsi="TimBashk" w:cs="TimBashk"/>
                <w:b/>
                <w:bCs/>
                <w:sz w:val="24"/>
                <w:szCs w:val="24"/>
                <w:lang w:eastAsia="ru-RU"/>
              </w:rPr>
              <w:t>ауыл Советы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231139</wp:posOffset>
                      </wp:positionV>
                      <wp:extent cx="7086600" cy="0"/>
                      <wp:effectExtent l="0" t="19050" r="190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086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026FBE" id="Прямая соединительная линия 6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6pt,18.2pt" to="558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701" w:type="dxa"/>
            <w:hideMark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0"/>
                <w:szCs w:val="20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page">
                    <wp:posOffset>108585</wp:posOffset>
                  </wp:positionH>
                  <wp:positionV relativeFrom="paragraph">
                    <wp:posOffset>296545</wp:posOffset>
                  </wp:positionV>
                  <wp:extent cx="664845" cy="685800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981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сельского поселения Большеустьикинский сельсовет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Мечетлинский район 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E2F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Республики Башкортостан</w:t>
            </w: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2F2A" w:rsidRPr="001E2F2A" w:rsidRDefault="001E2F2A" w:rsidP="001E2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/>
              <w:jc w:val="center"/>
              <w:rPr>
                <w:rFonts w:ascii="TimBashk" w:eastAsia="Times New Roman" w:hAnsi="TimBashk" w:cs="TimBashk"/>
                <w:sz w:val="28"/>
                <w:szCs w:val="28"/>
                <w:lang w:eastAsia="ru-RU"/>
              </w:rPr>
            </w:pPr>
          </w:p>
        </w:tc>
      </w:tr>
    </w:tbl>
    <w:p w:rsidR="00980ED7" w:rsidRDefault="001E2F2A" w:rsidP="001E2F2A">
      <w:pPr>
        <w:spacing w:after="0" w:line="240" w:lineRule="auto"/>
        <w:rPr>
          <w:rFonts w:ascii="Bash" w:eastAsia="Times New Roman" w:hAnsi="Bash" w:cs="Bash"/>
          <w:b/>
          <w:sz w:val="20"/>
          <w:szCs w:val="20"/>
          <w:lang w:eastAsia="ru-RU"/>
        </w:rPr>
      </w:pPr>
      <w:r w:rsidRPr="001E2F2A"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        </w:t>
      </w:r>
    </w:p>
    <w:p w:rsidR="001E2F2A" w:rsidRPr="001E2F2A" w:rsidRDefault="001E2F2A" w:rsidP="001E2F2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F2A">
        <w:rPr>
          <w:rFonts w:ascii="Bash" w:eastAsia="Times New Roman" w:hAnsi="Bash" w:cs="Bash"/>
          <w:b/>
          <w:sz w:val="20"/>
          <w:szCs w:val="20"/>
          <w:lang w:eastAsia="ru-RU"/>
        </w:rPr>
        <w:t xml:space="preserve">  </w:t>
      </w:r>
      <w:r w:rsidRPr="001E2F2A">
        <w:rPr>
          <w:rFonts w:ascii="TimBashk" w:eastAsia="Times New Roman" w:hAnsi="TimBashk" w:cs="Times New Roman"/>
          <w:b/>
          <w:sz w:val="28"/>
          <w:szCs w:val="28"/>
          <w:lang w:eastAsia="ru-RU"/>
        </w:rPr>
        <w:t xml:space="preserve">? А Р А Р                                                                         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F2A" w:rsidRPr="001E2F2A" w:rsidRDefault="001E2F2A" w:rsidP="001E2F2A">
      <w:pPr>
        <w:tabs>
          <w:tab w:val="left" w:pos="1185"/>
          <w:tab w:val="center" w:pos="48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бюджете сельского поселения Большеустьикинский сельсовет</w:t>
      </w:r>
    </w:p>
    <w:p w:rsidR="001E2F2A" w:rsidRPr="001E2F2A" w:rsidRDefault="001E2F2A" w:rsidP="001E2F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муниципального района Мечетлинский район Республики Башкортостан</w:t>
      </w:r>
    </w:p>
    <w:p w:rsidR="001E2F2A" w:rsidRPr="001E2F2A" w:rsidRDefault="001E2F2A" w:rsidP="001E2F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на 20</w:t>
      </w:r>
      <w:r w:rsidR="00845D24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20</w:t>
      </w: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год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на плановый период 20</w:t>
      </w:r>
      <w:r w:rsidR="00C23BF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845D2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и 20</w:t>
      </w:r>
      <w:r w:rsidR="0007786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="00845D2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2</w:t>
      </w:r>
      <w:r w:rsidRPr="001E2F2A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годов</w:t>
      </w:r>
    </w:p>
    <w:p w:rsidR="001E2F2A" w:rsidRPr="001E2F2A" w:rsidRDefault="001E2F2A" w:rsidP="001E2F2A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1E2F2A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ab/>
      </w:r>
    </w:p>
    <w:p w:rsidR="001E2F2A" w:rsidRPr="001E2F2A" w:rsidRDefault="001E2F2A" w:rsidP="001E2F2A">
      <w:pPr>
        <w:spacing w:after="0" w:line="40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Совет сельского поселения Большеустьикинский сельсовет муниципального района Мечетлинский район Республики Башкортостан           р е ш и л:                                                     </w:t>
      </w:r>
    </w:p>
    <w:p w:rsidR="001E2F2A" w:rsidRPr="001E2F2A" w:rsidRDefault="007D4A37" w:rsidP="007D4A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сельского 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</w:t>
      </w:r>
      <w:r w:rsidR="001E2F2A"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20</w:t>
      </w:r>
      <w:r w:rsidR="00845D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общий объем  доходов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Мечетлинский район Республики Башкортостан в сумме  </w:t>
      </w:r>
      <w:r w:rsidR="00474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9015,6</w:t>
      </w:r>
      <w:r w:rsidRPr="00C23B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   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общий объем  расходов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сумме  </w:t>
      </w:r>
      <w:r w:rsidR="00474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9015,6</w:t>
      </w:r>
      <w:r w:rsidRPr="00C23B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дефицит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</w:t>
      </w:r>
      <w:r w:rsidR="001732AB" w:rsidRPr="001732AB">
        <w:t xml:space="preserve"> </w:t>
      </w:r>
      <w:r w:rsidR="001732AB" w:rsidRP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тысяч рублей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1.1. Утвердить основные характеристики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плановый период 20</w:t>
      </w:r>
      <w:r w:rsidR="00C23BF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20</w:t>
      </w:r>
      <w:r w:rsidR="000778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годов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рогнозируемый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 доходов бюджета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на 20</w:t>
      </w:r>
      <w:r w:rsidR="00C23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 </w:t>
      </w:r>
      <w:r w:rsidR="00474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9206,1</w:t>
      </w:r>
      <w:r w:rsidRPr="00C23B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0778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474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9589,0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   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общий объем  расходов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20</w:t>
      </w:r>
      <w:r w:rsidR="00C23BF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в сумме  </w:t>
      </w:r>
      <w:r w:rsidR="00474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9206,1</w:t>
      </w:r>
      <w:r w:rsidRPr="00C23B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рублей, в том числе условно утвержденные расходы в сумме </w:t>
      </w:r>
      <w:r w:rsidR="00474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203,2</w:t>
      </w:r>
      <w:r w:rsidRPr="00C23B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6217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 на 20</w:t>
      </w:r>
      <w:r w:rsidR="006217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3B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год </w:t>
      </w:r>
      <w:r w:rsidR="004743F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9589,0</w:t>
      </w:r>
      <w:r w:rsidRPr="00C23BF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рублей, в том числе условно утвержденные расходы в сумме     </w:t>
      </w:r>
      <w:r w:rsidR="004743F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424,8</w:t>
      </w:r>
      <w:r w:rsidRPr="00C23BF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2222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дефицит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732AB" w:rsidRPr="001732AB">
        <w:t xml:space="preserve"> </w:t>
      </w:r>
      <w:r w:rsidR="001732AB" w:rsidRP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0 тысяч рублей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Установить, что при зачислении в бюджет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безвозмездных поступлений в виде добровольных взносов (пожертвований) юридических  и физических лиц для казенного учреждения, находящегося в ведении соответствующего главного распорядителя средств бюджета, на сумму указанных поступлений увеличиваются бюджетные ассигнования соответствующему главному распорядителю средств бюджета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 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 перечень  главных администраторов доходов бюджета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 район Республики Башкортостан  и закрепить за ними основные источники доходов бюджета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 район Республики Башкортостан  согласно приложению №</w:t>
      </w:r>
      <w:r w:rsidRPr="001E2F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2F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1E2F2A" w:rsidRPr="001E2F2A" w:rsidRDefault="00D22277" w:rsidP="001E2F2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перечень главных администраторов источников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дефицита бюджета сельского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и закрепить за ними основные источники финансиров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дефицита бюджета сельского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согласно приложению №</w:t>
      </w:r>
      <w:r w:rsidR="001E2F2A" w:rsidRPr="001E2F2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  к настоящему Решению.</w:t>
      </w:r>
    </w:p>
    <w:p w:rsidR="001732AB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в бюджете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="001732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32AB" w:rsidRDefault="001732AB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поступление доходов  по основным источникам в объеме согласно приложению</w:t>
      </w:r>
      <w:r w:rsidR="001E2F2A"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 3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F2A" w:rsidRDefault="001732AB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217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приложения № 4 к настоящему Решению.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Установить размер субвенции, выделяемой бюджету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Большеустьикинский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из бюджета муниципального района Мечетлинский район Республики Башкортостан на финансовое обеспечение исполнения администрацией сельского 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Большеустьикинский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 район Республики Башкортостан отдельных государственных полномочий Российской Федерации  в 20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217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субвенции бюджетам поселений на осуществление первичного воинского учета на территориях, где отсутствуют военные комиссариаты в 20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 сумме </w:t>
      </w:r>
      <w:r w:rsidR="004743FE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471,6</w:t>
      </w:r>
      <w:r w:rsidRPr="00E338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рублей;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2) субвенции бюджетам поселений на осуществление первичного воинского учета на территориях, где отсутствуют военные комиссариаты в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3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 сумме </w:t>
      </w:r>
      <w:r w:rsidR="00D1174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476,1</w:t>
      </w:r>
      <w:r w:rsidRPr="00E338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тысячи рублей;</w:t>
      </w:r>
    </w:p>
    <w:p w:rsidR="00D67020" w:rsidRPr="00D67020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3) субвенции бюджетам поселений на осуществление первичного воинского учета на территориях, где отсутствуют военные комиссариаты в 20</w:t>
      </w:r>
      <w:r w:rsidR="00F92A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 в сумме </w:t>
      </w:r>
      <w:r w:rsidR="00D1174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492</w:t>
      </w:r>
      <w:r w:rsidR="002222E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,0</w:t>
      </w:r>
      <w:r w:rsidRPr="00E338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1E2F2A" w:rsidRPr="001E2F2A" w:rsidRDefault="00D67020" w:rsidP="00943EA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</w:t>
      </w:r>
      <w:r w:rsidR="002222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Установить размер </w:t>
      </w:r>
      <w:r w:rsidR="00943EA9" w:rsidRPr="00943E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межбюджетных   трансфертов на финансирование мероприятий по благоустройству территории населенных пунктов, коммунальному хозяйству, обеспечению мер пожарной безопасности</w:t>
      </w:r>
      <w:r w:rsidR="0092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3EA9" w:rsidRPr="0094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дорожной деятельности </w:t>
      </w:r>
      <w:r w:rsidR="009235B4" w:rsidRPr="00923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охране окружающей среды </w:t>
      </w:r>
      <w:r w:rsidR="00943EA9" w:rsidRPr="00943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Большеустьикинский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Мечетлинский район Республики Башкортостан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1174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9</w:t>
      </w:r>
      <w:r w:rsidR="002222E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00,0</w:t>
      </w:r>
      <w:r w:rsidRPr="00E338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на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="002222E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600,0</w:t>
      </w:r>
      <w:r w:rsidRPr="00E338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на 20</w:t>
      </w:r>
      <w:r w:rsidR="00F92A2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2222E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600,0</w:t>
      </w:r>
      <w:r w:rsidRPr="00E338AF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08F1" w:rsidRDefault="00D67020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1E2F2A"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Утвердить в пределах общего объема расходов бюджета, установленного статьей 1 настоящего решения, распределение бюджетных ассигнований сельского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</w:t>
      </w:r>
      <w:r w:rsid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8F1" w:rsidRDefault="005D08F1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разделам, подразделам, целевым статьям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(муниципальным программам и непрограммным направлениям деятельности), группам видов расходов бюджетов:</w:t>
      </w:r>
    </w:p>
    <w:p w:rsidR="005D08F1" w:rsidRDefault="005D08F1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1E2F2A" w:rsidRDefault="005D08F1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866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согласно приложению №  6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08F1" w:rsidRDefault="005D08F1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целевым статьям (муниципальным программам и непрограммным направлениям деятельности), группам видов расходов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классификации расходов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бюджетов:</w:t>
      </w:r>
    </w:p>
    <w:p w:rsidR="005D08F1" w:rsidRPr="005D08F1" w:rsidRDefault="005D08F1" w:rsidP="005D08F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согласно приложению № </w:t>
      </w:r>
      <w:r w:rsidR="0080117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5D08F1" w:rsidRPr="001E2F2A" w:rsidRDefault="005D08F1" w:rsidP="005D08F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плановый период 20</w:t>
      </w:r>
      <w:r w:rsidR="00E338A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согласно приложению № </w:t>
      </w:r>
      <w:r w:rsidR="0080117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5D08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настоящему Решению</w:t>
      </w:r>
      <w:r w:rsidR="00971B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2A" w:rsidRPr="001E2F2A" w:rsidRDefault="00D67020" w:rsidP="001E2F2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.1.Утвердить общий объем бюджетных ассигнований на исполнение публичных нормативных обязательств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рублей, на 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 сумме 0 рублей, на 20</w:t>
      </w:r>
      <w:r w:rsidR="00C866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рублей.</w:t>
      </w:r>
    </w:p>
    <w:p w:rsidR="00801173" w:rsidRDefault="00D67020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Утвердить ведомственную структуру расходов бюджета сельского 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 </w:t>
      </w:r>
    </w:p>
    <w:p w:rsidR="00801173" w:rsidRDefault="00801173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80117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№ 7 к настоящему Решению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2F2A" w:rsidRPr="001E2F2A" w:rsidRDefault="00801173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866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№  8 к настоящему Решению.</w:t>
      </w:r>
    </w:p>
    <w:p w:rsidR="001E2F2A" w:rsidRPr="001E2F2A" w:rsidRDefault="00D67020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субсидии в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сельского  поселения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предоставляются главными распорядителями средств бюджета сельского  поселения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юридическим лицам (за исключением субсидий государственным 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учреждениям), индивидуальным предпринимателям, физическим лицам-производителям товаров, работ и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выполнения работ, оказания услуг в пределах предусмотренных им ассигнований по соответствующим кодам бюджетной классификации;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2) муниципальным бюджетным и  автономным учреждениям сельского  поселения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нормативных затрат, связанных с оказаниями в соответствии с муниципальным заданием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муниципальных услуг (выполнением работ)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нормативных затрат на содержание муниципального имущества;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иные цели.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производителям товаров, работ и услуг, указанные в пункте 1 настоящей статьи, предоставляются: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малого и среднего предпринимательства и организациям инфраструктуры, реализующим проекты по вопросам поддержки и развития субъектов малого и среднего предпринимательства на территории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 Республики Башкортостан;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объединениям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реализующим общественно- полезные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(значимые) программы (мероприятия) в сфере культуры и искусства, социальной защиты населения.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в случаях, предусмотренных в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8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предоставляются соответствующими главными распорядителями средств бюджета сельского поселения в соответствии  с муниципальными нормативно-правовыми актами администрации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Башкортостан, определяющими категории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предусмотренные в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2 </w:t>
      </w:r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8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автономных учреждений, учитываются на лицевых счетах, открытых муниципальным автономным учреждениям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Администрации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</w:t>
      </w:r>
      <w:r w:rsidR="00D22277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Республики Башкортостан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F2A" w:rsidRPr="001E2F2A" w:rsidRDefault="00D67020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сельского  поселения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Большеустьикинский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не вправе принимать решения, приводящие к увеличению  в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плановом пер</w:t>
      </w:r>
      <w:r w:rsidR="000757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2362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численности муниципальных служащих и работников организаций бюджетной сферы.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Внесение изменений в сводную бюджетную роспись бюджета сельского 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осуществляет Совет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соответствии с бюджетным законодательством.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702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объем межбюджетных трансфертов на 20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предоставляемых из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Башкортостан, в связи с передачей  полномочий в части выплаты доплат к государственной пенсии за выслугу лет на муниципальной службе сельского поселения бюджету муниципального  района Мечетлинский район Республики Башкортостан в сумме </w:t>
      </w:r>
      <w:r w:rsidR="00D1174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406,1</w:t>
      </w:r>
      <w:r w:rsidRPr="00A06D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в 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1174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406,1</w:t>
      </w:r>
      <w:r w:rsidRPr="00A06D5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и 20</w:t>
      </w:r>
      <w:r w:rsidR="007E2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174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11747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406,1</w:t>
      </w:r>
      <w:r w:rsidR="002222E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1E2F2A" w:rsidRPr="00EF0BF9" w:rsidRDefault="001E2F2A" w:rsidP="00EF0BF9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остатки средств бюджета</w:t>
      </w:r>
      <w:r w:rsidRPr="001E2F2A">
        <w:rPr>
          <w:rFonts w:ascii="TNRCyrBash" w:eastAsia="Times New Roman" w:hAnsi="TNRCyrBash" w:cs="Times New Roman"/>
          <w:b/>
          <w:bCs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1E2F2A">
        <w:rPr>
          <w:rFonts w:ascii="TNRCyrBash" w:eastAsia="Times New Roman" w:hAnsi="TNRCyrBash" w:cs="Times New Roman"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на 1 января 20</w:t>
      </w:r>
      <w:r w:rsidR="000C3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направляются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администрацией сельского поселения</w:t>
      </w:r>
      <w:r w:rsidRPr="001E2F2A">
        <w:rPr>
          <w:rFonts w:ascii="TNRCyrBash" w:eastAsia="Times New Roman" w:hAnsi="TNRCyrBash" w:cs="Times New Roman"/>
          <w:b/>
          <w:sz w:val="28"/>
          <w:szCs w:val="28"/>
          <w:lang w:eastAsia="ru-RU"/>
        </w:rPr>
        <w:t xml:space="preserve"> </w:t>
      </w:r>
      <w:r w:rsidRPr="001E2F2A">
        <w:rPr>
          <w:rFonts w:ascii="TNRCyrBash" w:eastAsia="Times New Roman" w:hAnsi="TNRCyrBash" w:cs="Times New Roman"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сельсовет муниципального района Мечетлинский район Республики Башкортостан на покрытие временных кассовых разрывов, возникающих в ходе исполнения местного бюджета не более одной двенадцатой общего объема расходов бюджета сельского поселения </w:t>
      </w:r>
      <w:r w:rsidRPr="001E2F2A">
        <w:rPr>
          <w:rFonts w:ascii="TNRCyrBash" w:eastAsia="Times New Roman" w:hAnsi="TNRCyrBash" w:cs="Times New Roman"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1E2F2A" w:rsidRPr="001E2F2A" w:rsidRDefault="001E2F2A" w:rsidP="006D399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Установить, что средства, поступающие на лицевые счета бюджетных учреждений, финансируемых из бюджета сельского поселения</w:t>
      </w:r>
      <w:r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 района Мечетлинский район Республики Башкортостан, в погашение дебиторской задолженности прошлых лет, подлежат обязательному перечислению получателями бюджетных средств в полном объеме в доходы бюджета  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F0BF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2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Совету сельского поселения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ревизионной комиссии Совета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установить контроль за исполнением бюджета сельского поселения </w:t>
      </w:r>
      <w:r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Большеустьикинский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Мечетлинский район Республики Башкортостан в 20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в плановом периоде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06D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FC9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7E2C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E2F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годах.</w:t>
      </w:r>
    </w:p>
    <w:p w:rsidR="001E2F2A" w:rsidRPr="001E2F2A" w:rsidRDefault="002C0DD6" w:rsidP="001E2F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1</w:t>
      </w:r>
      <w:r w:rsidR="00EF0B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E2F2A" w:rsidRPr="001E2F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E2F2A" w:rsidRPr="001E2F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решение вступает в силу с 1 января 20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подлежит обнародованию в установленном  порядке.</w:t>
      </w:r>
    </w:p>
    <w:p w:rsidR="001E2F2A" w:rsidRPr="001E2F2A" w:rsidRDefault="001E2F2A" w:rsidP="001E2F2A">
      <w:pPr>
        <w:widowControl w:val="0"/>
        <w:autoSpaceDE w:val="0"/>
        <w:autoSpaceDN w:val="0"/>
        <w:adjustRightInd w:val="0"/>
        <w:spacing w:before="20" w:after="0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Большеустьикинский сельсовет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Мечетлинский 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Республики Башкортостан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D22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.М.Гильметдинов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F2A" w:rsidRPr="001E2F2A" w:rsidRDefault="00D22277" w:rsidP="001E2F2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</w:t>
      </w:r>
      <w:bookmarkStart w:id="0" w:name="_GoBack"/>
      <w:bookmarkEnd w:id="0"/>
      <w:r w:rsidR="006F7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EE510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E2F2A"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1E2F2A" w:rsidRPr="001E2F2A" w:rsidRDefault="001E2F2A" w:rsidP="001E2F2A">
      <w:pPr>
        <w:spacing w:after="0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1E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2227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sectPr w:rsidR="001E2F2A" w:rsidRPr="001E2F2A" w:rsidSect="00D608FD">
      <w:headerReference w:type="even" r:id="rId9"/>
      <w:pgSz w:w="11907" w:h="16840"/>
      <w:pgMar w:top="1134" w:right="708" w:bottom="709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FC" w:rsidRDefault="00B733FC">
      <w:pPr>
        <w:spacing w:after="0" w:line="240" w:lineRule="auto"/>
      </w:pPr>
      <w:r>
        <w:separator/>
      </w:r>
    </w:p>
  </w:endnote>
  <w:endnote w:type="continuationSeparator" w:id="0">
    <w:p w:rsidR="00B733FC" w:rsidRDefault="00B73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altName w:val="Bahnschrift Light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FC" w:rsidRDefault="00B733FC">
      <w:pPr>
        <w:spacing w:after="0" w:line="240" w:lineRule="auto"/>
      </w:pPr>
      <w:r>
        <w:separator/>
      </w:r>
    </w:p>
  </w:footnote>
  <w:footnote w:type="continuationSeparator" w:id="0">
    <w:p w:rsidR="00B733FC" w:rsidRDefault="00B73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BE8" w:rsidRDefault="001E2F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1BE8" w:rsidRDefault="00B733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EA46D0"/>
    <w:multiLevelType w:val="hybridMultilevel"/>
    <w:tmpl w:val="75C0A06A"/>
    <w:lvl w:ilvl="0" w:tplc="5EDA2C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7D0"/>
    <w:rsid w:val="00046DF1"/>
    <w:rsid w:val="000643C0"/>
    <w:rsid w:val="00074773"/>
    <w:rsid w:val="000757EF"/>
    <w:rsid w:val="0007786E"/>
    <w:rsid w:val="000C3C1E"/>
    <w:rsid w:val="001579D2"/>
    <w:rsid w:val="001732AB"/>
    <w:rsid w:val="00177981"/>
    <w:rsid w:val="001E2F2A"/>
    <w:rsid w:val="002222E6"/>
    <w:rsid w:val="0023621C"/>
    <w:rsid w:val="002C0DD6"/>
    <w:rsid w:val="00320FA8"/>
    <w:rsid w:val="00471A80"/>
    <w:rsid w:val="004743FE"/>
    <w:rsid w:val="005D08F1"/>
    <w:rsid w:val="00616C97"/>
    <w:rsid w:val="0062172C"/>
    <w:rsid w:val="006D3998"/>
    <w:rsid w:val="006F7D90"/>
    <w:rsid w:val="007D4A37"/>
    <w:rsid w:val="007E2C9E"/>
    <w:rsid w:val="00801173"/>
    <w:rsid w:val="00845D24"/>
    <w:rsid w:val="008E39CF"/>
    <w:rsid w:val="00922C6A"/>
    <w:rsid w:val="009235B4"/>
    <w:rsid w:val="00943EA9"/>
    <w:rsid w:val="00971B2D"/>
    <w:rsid w:val="00980ED7"/>
    <w:rsid w:val="009867D0"/>
    <w:rsid w:val="00A06D50"/>
    <w:rsid w:val="00A64E61"/>
    <w:rsid w:val="00AC4C83"/>
    <w:rsid w:val="00B733FC"/>
    <w:rsid w:val="00BD2CC0"/>
    <w:rsid w:val="00C01FFB"/>
    <w:rsid w:val="00C23BF6"/>
    <w:rsid w:val="00C8663F"/>
    <w:rsid w:val="00C90DE6"/>
    <w:rsid w:val="00D11747"/>
    <w:rsid w:val="00D22277"/>
    <w:rsid w:val="00D3558B"/>
    <w:rsid w:val="00D67020"/>
    <w:rsid w:val="00DF3FC9"/>
    <w:rsid w:val="00E338AF"/>
    <w:rsid w:val="00EE510B"/>
    <w:rsid w:val="00EF0BF9"/>
    <w:rsid w:val="00F9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E1411-CD2F-4B94-B040-3915CFD3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2F2A"/>
  </w:style>
  <w:style w:type="paragraph" w:styleId="a5">
    <w:name w:val="footer"/>
    <w:basedOn w:val="a"/>
    <w:link w:val="a6"/>
    <w:uiPriority w:val="99"/>
    <w:semiHidden/>
    <w:unhideWhenUsed/>
    <w:rsid w:val="001E2F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2F2A"/>
  </w:style>
  <w:style w:type="character" w:styleId="a7">
    <w:name w:val="page number"/>
    <w:basedOn w:val="a0"/>
    <w:rsid w:val="001E2F2A"/>
  </w:style>
  <w:style w:type="paragraph" w:styleId="a8">
    <w:name w:val="Balloon Text"/>
    <w:basedOn w:val="a"/>
    <w:link w:val="a9"/>
    <w:uiPriority w:val="99"/>
    <w:semiHidden/>
    <w:unhideWhenUsed/>
    <w:rsid w:val="001E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2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1947</Words>
  <Characters>11104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24</cp:revision>
  <cp:lastPrinted>2017-12-15T05:11:00Z</cp:lastPrinted>
  <dcterms:created xsi:type="dcterms:W3CDTF">2015-12-22T09:28:00Z</dcterms:created>
  <dcterms:modified xsi:type="dcterms:W3CDTF">2019-12-23T04:25:00Z</dcterms:modified>
</cp:coreProperties>
</file>